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НАЦІОНАЛЬНИЙ УНІВЕРСИТЕТ «ОДЕСЬКА ПОЛІТЕХНІКА» </w:t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Кафедра англійської філології та перекладу</w:t>
      </w:r>
    </w:p>
    <w:p w:rsidR="00000000" w:rsidDel="00000000" w:rsidP="00000000" w:rsidRDefault="00000000" w:rsidRPr="00000000" w14:paraId="00000005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9">
      <w:pPr>
        <w:widowControl w:val="0"/>
        <w:ind w:right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Перший проректор</w:t>
      </w:r>
    </w:p>
    <w:p w:rsidR="00000000" w:rsidDel="00000000" w:rsidP="00000000" w:rsidRDefault="00000000" w:rsidRPr="00000000" w14:paraId="0000000A">
      <w:pPr>
        <w:widowControl w:val="0"/>
        <w:ind w:right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Сергій  НЕСТЕРЕНКО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«____»_________________2024 р.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ПРОГРАМА ПРОФЕСІЙНО-ПЕРЕКЛАДАЦЬКОЇ ПРАКТИКИ</w:t>
      </w:r>
    </w:p>
    <w:p w:rsidR="00000000" w:rsidDel="00000000" w:rsidP="00000000" w:rsidRDefault="00000000" w:rsidRPr="00000000" w14:paraId="00000011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3024.0" w:type="dxa"/>
        <w:jc w:val="left"/>
        <w:tblLayout w:type="fixed"/>
        <w:tblLook w:val="0400"/>
      </w:tblPr>
      <w:tblGrid>
        <w:gridCol w:w="3024"/>
        <w:tblGridChange w:id="0">
          <w:tblGrid>
            <w:gridCol w:w="30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center" w:leader="none" w:pos="153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Спеціальність. Спеціалізація:</w:t>
      </w:r>
    </w:p>
    <w:p w:rsidR="00000000" w:rsidDel="00000000" w:rsidP="00000000" w:rsidRDefault="00000000" w:rsidRPr="00000000" w14:paraId="00000014">
      <w:pPr>
        <w:spacing w:line="259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035 – Філологія</w:t>
      </w:r>
    </w:p>
    <w:p w:rsidR="00000000" w:rsidDel="00000000" w:rsidP="00000000" w:rsidRDefault="00000000" w:rsidRPr="00000000" w14:paraId="00000015">
      <w:pPr>
        <w:spacing w:line="259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035.041 Германські мови і література(переклад включно) переклад-англійська</w:t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b w:val="1"/>
          <w:rtl w:val="0"/>
        </w:rPr>
        <w:t xml:space="preserve">Освітні програми: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4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43"/>
        <w:jc w:val="center"/>
        <w:rPr/>
      </w:pPr>
      <w:r w:rsidDel="00000000" w:rsidR="00000000" w:rsidRPr="00000000">
        <w:rPr>
          <w:b w:val="1"/>
          <w:rtl w:val="0"/>
        </w:rPr>
        <w:t xml:space="preserve">«ГЕРМАНСЬКІ МОВИ ТА ЛІТЕРАТУРИ (ПЕРЕКЛАД ВКЛЮЧНО),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43"/>
        <w:jc w:val="center"/>
        <w:rPr/>
      </w:pPr>
      <w:r w:rsidDel="00000000" w:rsidR="00000000" w:rsidRPr="00000000">
        <w:rPr>
          <w:b w:val="1"/>
          <w:rtl w:val="0"/>
        </w:rPr>
        <w:t xml:space="preserve">ПЕРША – АНГЛІЙСЬКА»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b w:val="1"/>
          <w:rtl w:val="0"/>
        </w:rPr>
        <w:t xml:space="preserve">Підрозділ, що забезпечує дисципліну: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кафедра англійської філології та перекладу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rtl w:val="0"/>
        </w:rPr>
        <w:t xml:space="preserve">Тип навчальної дисципліни: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обов’язкова.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b w:val="1"/>
          <w:rtl w:val="0"/>
        </w:rPr>
        <w:t xml:space="preserve">Частина підготовки: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професійна.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b w:val="1"/>
          <w:rtl w:val="0"/>
        </w:rPr>
        <w:t xml:space="preserve">Рівень вищої освіти: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перший (бакалаврський).</w:t>
      </w:r>
    </w:p>
    <w:p w:rsidR="00000000" w:rsidDel="00000000" w:rsidP="00000000" w:rsidRDefault="00000000" w:rsidRPr="00000000" w14:paraId="00000027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Обсяг навчальної дисципліни: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4,5 кредитів ЄКТС.</w:t>
      </w:r>
    </w:p>
    <w:p w:rsidR="00000000" w:rsidDel="00000000" w:rsidP="00000000" w:rsidRDefault="00000000" w:rsidRPr="00000000" w14:paraId="0000002A">
      <w:pP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b w:val="1"/>
          <w:rtl w:val="0"/>
        </w:rPr>
        <w:t xml:space="preserve">Розробник: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Чепелюк Н.І.., к.педагог.н., доцент 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075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075"/>
        </w:tabs>
        <w:jc w:val="center"/>
        <w:rPr/>
      </w:pPr>
      <w:r w:rsidDel="00000000" w:rsidR="00000000" w:rsidRPr="00000000">
        <w:rPr>
          <w:rtl w:val="0"/>
        </w:rPr>
        <w:t xml:space="preserve">Одеса – 2024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07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9540"/>
        </w:tabs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МЕТА І ЗАВДАННЯ ПРАКТИКИ</w:t>
      </w:r>
    </w:p>
    <w:p w:rsidR="00000000" w:rsidDel="00000000" w:rsidP="00000000" w:rsidRDefault="00000000" w:rsidRPr="00000000" w14:paraId="0000003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Наскрізна програма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професійно-перекладацької практики є основним навчально-методичним документом, що забезпечує комплексний підхід до організації практичної підготовки, системність, безперервність та послідовність змісту і завдань професійно-перекладацької практики спеціальності «035 Філологія» освітніх програм Германські мови та літератури (переклад включно) перша англійська</w:t>
      </w:r>
      <w:r w:rsidDel="00000000" w:rsidR="00000000" w:rsidRPr="00000000">
        <w:rPr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  <w:t xml:space="preserve"> Програма практичної підготовки (перекладацька практика) складена на основі освітньо-професійної програми та відповідає стандартам вищої освіти спеціальності «035 Філологія».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Професійно-перекладацька практика </w:t>
      </w:r>
      <w:r w:rsidDel="00000000" w:rsidR="00000000" w:rsidRPr="00000000">
        <w:rPr>
          <w:b w:val="1"/>
          <w:rtl w:val="0"/>
        </w:rPr>
        <w:t xml:space="preserve">має на меті </w:t>
      </w:r>
      <w:r w:rsidDel="00000000" w:rsidR="00000000" w:rsidRPr="00000000">
        <w:rPr>
          <w:rtl w:val="0"/>
        </w:rPr>
        <w:t xml:space="preserve">реалізацію теоретичних знань здобувачів в галузі перекладу, відповідних практичних умінь, прищеплення досвіду самостійної перекладацької діяльності. 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Завдання практики</w:t>
      </w:r>
      <w:r w:rsidDel="00000000" w:rsidR="00000000" w:rsidRPr="00000000">
        <w:rPr>
          <w:rtl w:val="0"/>
        </w:rPr>
        <w:t xml:space="preserve"> формулюються відповідно галузі перекладацької діяльності: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1. Комунікативна (письмовий переклад) передбачає забезпечення письмової комунікації у різних галузях господарства, науки і культури, а саме: здійснення письмового перекладу спеціалізованих, науково-популярних, суспільно-політичних, художніх та науково-технічних текстів; користування сучасними методами збирання і обробки інформації.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2. Комунікативна (усний переклад) включає забезпечення усної комунікації у різних галузях господарства, науки і культури, а саме: здійснення усних перекладів різних видів (усного послідовного, двостороннього та синхронного перекладу); здійснення комунікації в рамках переговорів; користування сучасними методами збирання і обробки інформації.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3. Професійно-перекладацька (усна та письмова офіційно-ділова комунікація) полягає у забезпеченні усної та письмової комунікації в межах діяльності перекладача-референта і перекладача-менеджера або діяльності перекладача-консультанта в державних та недержавних організаціях; вивірення тексту перекладу в межах діяльності перекладача-референта.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4. Науково-дослідницька (в галузі лінгвістики, перекладознавства, літературознавства) полягає у застосуванні методів проведення наукових досліджень та проведення аналізу мовних явищ у їх взаємозв’язку та взаємозалежності.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5. Теоретико-лінгвістична (забезпечення взаємозв'язку теоретичного і практичного аспектів мови та перекладу) передбачає застосування теоретичних моделей впроцесі перекладу для вирішення різноманітних перекладацьких завдань та забезпечення взаємозв'язку теоретичного та практичного аспектів в процесі здійснення перекладів.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6. Зв’язки з громадськістю (забезпечення підвищення загальної мовної культури громадян) полягає в участі у публічних лекціях, виступах, читаннях лекцій, виступах у пресі, а також ділове листування.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  <w:t xml:space="preserve">7. Використання міжнародних інформаційних систем та технологій включає пошук інформації з використанням глобальних інформаційних мереж та автоматизованих інформаційно - пошукових та довідникових систем із застосуванням сучасних технологій, а також роботу з базами даних.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9540"/>
        </w:tabs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108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КОМПЕТЕНТНОСТІ ТА РЕЗУЛЬТАТИ НАВЧАННЯ</w:t>
      </w:r>
    </w:p>
    <w:p w:rsidR="00000000" w:rsidDel="00000000" w:rsidP="00000000" w:rsidRDefault="00000000" w:rsidRPr="00000000" w14:paraId="0000003E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Вимоги до знань та вмінь визначаються галузевими стандартами вищої освіти України для здобувачів першого (бакалаврського) рівня вищої освіти зі спеціальності 035 Філологія.</w:t>
      </w:r>
    </w:p>
    <w:p w:rsidR="00000000" w:rsidDel="00000000" w:rsidP="00000000" w:rsidRDefault="00000000" w:rsidRPr="00000000" w14:paraId="00000040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  <w:t xml:space="preserve">При проходженні професіно-перекладацької практики у здобувачів формується такі </w:t>
      </w:r>
      <w:r w:rsidDel="00000000" w:rsidR="00000000" w:rsidRPr="00000000">
        <w:rPr>
          <w:b w:val="1"/>
          <w:rtl w:val="0"/>
        </w:rPr>
        <w:t xml:space="preserve">компетентності та результати навчання:</w:t>
      </w:r>
    </w:p>
    <w:p w:rsidR="00000000" w:rsidDel="00000000" w:rsidP="00000000" w:rsidRDefault="00000000" w:rsidRPr="00000000" w14:paraId="00000041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right"/>
        <w:rPr/>
      </w:pPr>
      <w:r w:rsidDel="00000000" w:rsidR="00000000" w:rsidRPr="00000000">
        <w:rPr>
          <w:rtl w:val="0"/>
        </w:rPr>
        <w:t xml:space="preserve">Табл. 2.1.</w:t>
      </w:r>
    </w:p>
    <w:p w:rsidR="00000000" w:rsidDel="00000000" w:rsidP="00000000" w:rsidRDefault="00000000" w:rsidRPr="00000000" w14:paraId="00000044">
      <w:pPr>
        <w:ind w:firstLine="709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5"/>
        <w:gridCol w:w="5804"/>
        <w:tblGridChange w:id="0">
          <w:tblGrid>
            <w:gridCol w:w="3875"/>
            <w:gridCol w:w="58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Компетентності та відповідні їм результати навчання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компетентності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результати навчання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ЗК3. Здатність спілкуватися державною мовою як усно, так і письмово. 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ЗК9. Здатність спілкуватися іноземною мовою.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1. 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ЗК5. (З/У/А/В) Здатність учитися й оволодівати сучасними знаннями.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3. Організовувати процес свого навчання й самоосвіти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ЗК6. (З/У/К) Здатність до пошуку, опрацювання та аналізу інформації з різних джерел.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6. 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СК12. (З/У/К/А/В) Здатність до організації ділової комунікації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ЗК11. (У/А/В) Здатність застосовувати знання у практичних ситуаціях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10. Знати норми літературної мови та вміти їх застосовувати у практичній діяльності.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СК6. (З/У/К/А/В) Здатність вільно, гнучко й ефективно використовувати мову(и), що вивчається(ються), в усній та письмовій формах, у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14.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СК7. (З/У/А/В)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СК14. (З/У) Знання сучасних загальних теорій перекладу, що визначають стратегії перекладу, уміння розрізняти типи текстів i види їх перекладу.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20. Здійснювати адекватний письмовий переклад і якісно редагувати фахові тексти з різних галузей знань відповідно до чинних нормативних вимог. 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СК 15. (З/У) Здатність здійснювати постперекладацьке редагування тексту перекладу.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ПРН 21. Здійснювати усний послідовний переклад на базовому рівні в різних комунікативних ситуаціях. 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540"/>
        </w:tabs>
        <w:ind w:left="10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3.Зміст практики</w:t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Професійно-перекладацька практика проводиться на базі підприємств, що підтримують зв'язки із закордонними фірмами, або співпрацюють з ними, що зумовлює потребу в перекладацькій діяльності. Здобувачі, що влаштовуються на виробничу практику, надходять у розпорядження керівника відповідного відділу на підприємстві та діють згідно за внутрішнім розпорядком підприємства.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Вся діяльність здобувачів під час практики повинна бути спрямована на закріплення вмінь письмового та усного перекладу на виробництві, активне використання спеціалізованих словників та довідників, самостійну діяльність з напрямку своєї майбутньої професії. 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Під час практики здобувач суворо дотримується правил охорони праці і протипожежної безпеки. З цією метою він проходить інструктаж, перш ніж приступити до практики. Він також ознайомиться із специфікою підприємства, на якому проводиться перекладацька практика, з режимом роботи базового відділу, щоб суворо дотримуватися внутрішнього розпорядку підприємства, засвоює термінологічний корпус, що стосується даного виробництва, та процеси, з якими той пов'язаний.</w:t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9540"/>
        </w:tabs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3.1. Етапи перекладацької практики</w:t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Перекладацька практика здійснюється у вигляді письмового перекладу художнього, публіцистичного, наукового лінгвістичного тексту та їх лінгвоперекладацького аналізу.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Процедура проходження практики складається з таких етапів 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 підготовчий етап;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 виконання доперекладацького аналізу тексту;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 переклад текстів і складання вокабуляру (Vocabulaire) до кожного перекладеного тексту;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-здійснення перекладацького аналізу (лінгвоперекладацький коментар);</w:t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 підготовка звіту про проходження практики;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-захист.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9540"/>
        </w:tabs>
        <w:ind w:firstLine="567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3.2. Завдання та порядок їх виконання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І. Доперекладацький аналіз</w:t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1. Описати текст оригіналу, надати інформацію щодо джерела тексту, його автора, соціально-культурних характеристик тексту та його мети.</w:t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2. Визначити жанр, тематику та функціонально-стилістичну характеристику тексту та відповідну перекладацьку стратегію для подолання перекладацьких труднощів.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3. Визначити тип тексту, залежно від домінуючого типу інформації (когнітивної, емоційної, оперативної, змішаної) та цілі (дескриптивний, аргументативний, спонукальний, наративний).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4. Визначити формальні характеристики текстів оригіналу: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 Формальна структура тексту. Внутрішні заголовки та їх функції.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Загальна логіка будови тексту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 Засоби творення когезії (формальної зв’язності) тексту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5. Визначити мовні особливості тексту оригіналу: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 Фонологічні особливості тексту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 Морфологічні та синтаксичні особливості тексту</w:t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 Лексичні особливості тексту (терміни, реалії, неологізми)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ІІ. Переклад тексту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6. Здійснити письмовий переклад текстів.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7. Виконати постпекладацький аналіз (редагування перекладів).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8. Скласти вокабуляр до кожного тексту.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ІІІ. Лінвоперекладацький коментар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Завдання 9. Виконати перекладацький аналіз: навести в лінгвоперекладацькому коментарі результати лінгвістичного аналізу процесу перекладу, дати пояснення фонової інформації, опис перекладацьких рішень, пов’язаних з підбором контекстуально обумовлених одиниць тексту перекладу, які не є регулярними відповідниками одиниць оригіналу.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Індивідуальне завдання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Функції здобувача-практиканта повинні відповідати профілю його навчання. Під час практики керівник може надавати здобувачу-практиканту індивідуальні завдання з метою розширення його світогляду, підвищення ініціативи, а також у зв'язку з виробничою необхідністю. Індивідуальні завдання мають носити виробничий характер, занотовуватись здобувачем у щоденнику практики з аналізом досягнутих результатів. 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Орієнтовний перелік індивідуальних завдань для здобувачів, які проходять перекладацьку практику, включає наступне: 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1) брати участь у заходах протокольного (ділові переговори), наукового і культурного характеру та туристичного обміну; </w:t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2) брати участь у науково-методичних семінарах підприємства; </w: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3) збирати інформаційні матеріали для забезпечення ділових переговорів, прес-конференцій, інтерв’ю, виступів з публічними промовами під час офіційних заходів, реклами та культурно-екскурсійної діяльності; </w:t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4) скласти словник термінів або прикладів мовного матеріалу, який використовується під час переговорів; </w:t>
      </w:r>
    </w:p>
    <w:p w:rsidR="00000000" w:rsidDel="00000000" w:rsidP="00000000" w:rsidRDefault="00000000" w:rsidRPr="00000000" w14:paraId="0000008B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5) підготувати інформацію про підприємство (установу, організацію), на якому проходили практику (історія створення підприємства, основний напрямок роботи, міжнародне співробітництво тощо).</w:t>
      </w:r>
    </w:p>
    <w:p w:rsidR="00000000" w:rsidDel="00000000" w:rsidP="00000000" w:rsidRDefault="00000000" w:rsidRPr="00000000" w14:paraId="0000008C">
      <w:pPr>
        <w:widowControl w:val="0"/>
        <w:tabs>
          <w:tab w:val="left" w:leader="none" w:pos="9540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6) вивчення особливостей етикету для перекладача</w:t>
      </w:r>
    </w:p>
    <w:p w:rsidR="00000000" w:rsidDel="00000000" w:rsidP="00000000" w:rsidRDefault="00000000" w:rsidRPr="00000000" w14:paraId="0000008D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tabs>
          <w:tab w:val="left" w:leader="none" w:pos="9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5. Вимоги щодо написання та оформлення звіту про практику</w:t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9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1. Щоденник професійно -перекладацької практики, який відображає роботу здобувача за весь період практики та містить такі розділи:</w:t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 відомості про організацію (установу), у якої проходить практика;</w:t>
      </w:r>
    </w:p>
    <w:p w:rsidR="00000000" w:rsidDel="00000000" w:rsidP="00000000" w:rsidRDefault="00000000" w:rsidRPr="00000000" w14:paraId="00000092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 індивідуальний план роботи здобувача-практиканта;</w:t>
      </w:r>
    </w:p>
    <w:p w:rsidR="00000000" w:rsidDel="00000000" w:rsidP="00000000" w:rsidRDefault="00000000" w:rsidRPr="00000000" w14:paraId="00000093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 аналіз діяльності заходів перекладацької діяльності, які відвідав здобувач </w:t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Звіт з професійно-перекладацької практики здобувача складається з наступної інформації: 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1) час, місце, тривалість перекладацької практики; </w:t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2) види документів, які перекладалися; кількість перекладених сторінок; 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3) зазначення перекладацьких проблем та знайдених шляхів їх вирішення; </w:t>
      </w:r>
    </w:p>
    <w:p w:rsidR="00000000" w:rsidDel="00000000" w:rsidP="00000000" w:rsidRDefault="00000000" w:rsidRPr="00000000" w14:paraId="00000099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4) індивідуальне завдання, що було виконано під час практики; </w:t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5) зазначення всіх видів діяльності під час проходження практики; </w:t>
      </w:r>
    </w:p>
    <w:p w:rsidR="00000000" w:rsidDel="00000000" w:rsidP="00000000" w:rsidRDefault="00000000" w:rsidRPr="00000000" w14:paraId="0000009B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6) власні враження та побажання здобувача. </w:t>
      </w:r>
    </w:p>
    <w:p w:rsidR="00000000" w:rsidDel="00000000" w:rsidP="00000000" w:rsidRDefault="00000000" w:rsidRPr="00000000" w14:paraId="0000009C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Для узагальнення матеріалів, зібраних під час практики, та підготовки звіту здобувачам надається 2-3 дні. </w:t>
      </w:r>
    </w:p>
    <w:p w:rsidR="00000000" w:rsidDel="00000000" w:rsidP="00000000" w:rsidRDefault="00000000" w:rsidRPr="00000000" w14:paraId="0000009E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Звіт перевіряється і затверджується керівниками практик на підприємстві та в навчальному закладі. </w:t>
      </w:r>
    </w:p>
    <w:p w:rsidR="00000000" w:rsidDel="00000000" w:rsidP="00000000" w:rsidRDefault="00000000" w:rsidRPr="00000000" w14:paraId="0000009F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tabs>
          <w:tab w:val="left" w:leader="none" w:pos="9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6. Критерії оцінювання рівня навчальних досягнень здобувачів</w:t>
      </w:r>
    </w:p>
    <w:p w:rsidR="00000000" w:rsidDel="00000000" w:rsidP="00000000" w:rsidRDefault="00000000" w:rsidRPr="00000000" w14:paraId="000000A1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Оцінка професійно -перекладацької практики визначається у відповідності з вимогами, що висуваються до перекладу текстів: смислова відповідність; функціонально-стильова відповідність; рівень володіння рідною мовою (грамотність, стиль); адекватне передавання змісту.</w:t>
      </w:r>
    </w:p>
    <w:p w:rsidR="00000000" w:rsidDel="00000000" w:rsidP="00000000" w:rsidRDefault="00000000" w:rsidRPr="00000000" w14:paraId="000000A3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При визначенні оцінки за практику враховується рівень виконаних здобувачем перекладів та оцінка, виставлена в установі, де проходила практика, а також звіт з практики та характеристика роботи здобувача з міста проходження практики.</w:t>
      </w:r>
    </w:p>
    <w:p w:rsidR="00000000" w:rsidDel="00000000" w:rsidP="00000000" w:rsidRDefault="00000000" w:rsidRPr="00000000" w14:paraId="000000A4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Зволікання з поданням документації про проходження практики впливає на оцінку або ставить під сумнів проходження практики взагалі.</w:t>
      </w:r>
    </w:p>
    <w:p w:rsidR="00000000" w:rsidDel="00000000" w:rsidP="00000000" w:rsidRDefault="00000000" w:rsidRPr="00000000" w14:paraId="000000A5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Керівник професійно -перекладацької практики керується такими критеріями оцінки перекладацької діяльності здобувачів-практикантів:</w:t>
      </w:r>
    </w:p>
    <w:p w:rsidR="00000000" w:rsidDel="00000000" w:rsidP="00000000" w:rsidRDefault="00000000" w:rsidRPr="00000000" w14:paraId="000000A6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Виконання здобувачем тесту покликано оцінити рівень досягнень результатів навчання:  практична частина: </w:t>
      </w:r>
      <w:r w:rsidDel="00000000" w:rsidR="00000000" w:rsidRPr="00000000">
        <w:rPr>
          <w:color w:val="ff0000"/>
          <w:rtl w:val="0"/>
        </w:rPr>
        <w:t xml:space="preserve">– </w:t>
      </w:r>
      <w:r w:rsidDel="00000000" w:rsidR="00000000" w:rsidRPr="00000000">
        <w:rPr>
          <w:rtl w:val="0"/>
        </w:rPr>
        <w:t xml:space="preserve">РН1, РН 2, РН 3, РН 5, РН 6, РН 10, РН 14, РН 17, РН 20, РН 21, </w:t>
      </w:r>
    </w:p>
    <w:p w:rsidR="00000000" w:rsidDel="00000000" w:rsidP="00000000" w:rsidRDefault="00000000" w:rsidRPr="00000000" w14:paraId="000000A7">
      <w:pPr>
        <w:ind w:left="720" w:firstLine="0"/>
        <w:jc w:val="right"/>
        <w:rPr/>
      </w:pPr>
      <w:r w:rsidDel="00000000" w:rsidR="00000000" w:rsidRPr="00000000">
        <w:rPr>
          <w:rtl w:val="0"/>
        </w:rPr>
        <w:t xml:space="preserve">Табл. 5.1</w:t>
      </w:r>
    </w:p>
    <w:p w:rsidR="00000000" w:rsidDel="00000000" w:rsidP="00000000" w:rsidRDefault="00000000" w:rsidRPr="00000000" w14:paraId="000000A8">
      <w:pPr>
        <w:ind w:left="720" w:firstLine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9072"/>
        <w:tblGridChange w:id="0">
          <w:tblGrid>
            <w:gridCol w:w="851"/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К-сть</w:t>
            </w:r>
          </w:p>
          <w:p w:rsidR="00000000" w:rsidDel="00000000" w:rsidP="00000000" w:rsidRDefault="00000000" w:rsidRPr="00000000" w14:paraId="000000AA">
            <w:pPr>
              <w:ind w:firstLine="4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бал.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Критерії оцінювання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firstLine="4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firstLine="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здобувач, спираючись на набутий перекладацький досвід, знає, яких заходів слід вжити, щоб грамотно в методичному та мовному аспектах доводити переклад до рівня автоматизованої діяльності, відтворюючи зміст, форму та стилістичні особливості оригіналу. При цьому переклад: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повністю відтворює денотативні, конотативні, прагматичні, естетичні,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стилістичні аспекти першотвору;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вільний від буквалізмів;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позбавлений незграбностей «вільного» перекладу;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творчо долає елементи безеквівалентності;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залишає поза увагою складні для перекладу нерелевантні елементи оригіналу;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відповідає вимогам замовника;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відредаговано у технічному та літературному відношеннях.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firstLine="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переклад доведено до рівня докінченого й відредагованого, але здобувач:</w:t>
            </w:r>
          </w:p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порушує термін подачі виконаної роботи;</w:t>
            </w:r>
          </w:p>
          <w:p w:rsidR="00000000" w:rsidDel="00000000" w:rsidP="00000000" w:rsidRDefault="00000000" w:rsidRPr="00000000" w14:paraId="000000BA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має незначні мовні огріхи;</w:t>
            </w:r>
          </w:p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порушує стилістичний регістр оригіналу;</w:t>
            </w:r>
          </w:p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хибує у термінологічній однорідності;</w:t>
            </w:r>
          </w:p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має зауваження щодо дотримання режиму праці, поведінки, етики з місця проходження практики.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firstLine="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здобувач в основному грамотно виконав переклади, але адекватність його перекладів оригіналам досягнута неповністю. При цьому:</w:t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помітні несуттєві перекручення при відтворенні прагматично релевантного змісту оригіналу та конотативної адекватності;</w:t>
            </w:r>
          </w:p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порушено норми перекладу;</w:t>
            </w:r>
          </w:p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спостерігаються кількісні збочення;</w:t>
            </w:r>
          </w:p>
          <w:p w:rsidR="00000000" w:rsidDel="00000000" w:rsidP="00000000" w:rsidRDefault="00000000" w:rsidRPr="00000000" w14:paraId="000000C3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порушується систематика часу, мовленнєвий регістр;</w:t>
            </w:r>
          </w:p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954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 спостерігається спустошення лексико-фразеологічних єдностей, приказок, прислів’їв.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firstLine="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здобувач не виконав 50%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завдання або допустив більше 10 термінологічних та граматичних помилок,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які спотворюють зміст тексту</w:t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6.2. Порядок проведення захисту звітів</w:t>
      </w:r>
    </w:p>
    <w:p w:rsidR="00000000" w:rsidDel="00000000" w:rsidP="00000000" w:rsidRDefault="00000000" w:rsidRPr="00000000" w14:paraId="000000CB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Звіт з практики захищається здобувачем (з диференційованою оцінкою) в комісії, що призначається завідувачем кафедри. До складу комісії входять керівники практики від Національного університету «Одеська політехніка», за можливості, від баз практики, викладачі кафедри, які викладали практикантам спеціальні дисципліни.</w:t>
      </w:r>
    </w:p>
    <w:p w:rsidR="00000000" w:rsidDel="00000000" w:rsidP="00000000" w:rsidRDefault="00000000" w:rsidRPr="00000000" w14:paraId="000000CD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Після закінчення терміну практики здобувачі звітують про виконання програми та індивідуального завдання.</w:t>
      </w:r>
    </w:p>
    <w:p w:rsidR="00000000" w:rsidDel="00000000" w:rsidP="00000000" w:rsidRDefault="00000000" w:rsidRPr="00000000" w14:paraId="000000C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Формою звітності здобувача за практику – є подання та захист звіту про практику з відгуком (характеристикою) керівника практики від бази практики в друкованому вигляді. </w:t>
      </w:r>
    </w:p>
    <w:p w:rsidR="00000000" w:rsidDel="00000000" w:rsidP="00000000" w:rsidRDefault="00000000" w:rsidRPr="00000000" w14:paraId="000000C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Звіт разом з іншими документами (щоденник, відгук керівника від бази практики тощо), подається на рецензування керівнику практики від кафедри. Після доопрацювання та остаточного погодження з керівником практики звіт в друкованому вигляді подається на захист.</w:t>
      </w:r>
    </w:p>
    <w:p w:rsidR="00000000" w:rsidDel="00000000" w:rsidP="00000000" w:rsidRDefault="00000000" w:rsidRPr="00000000" w14:paraId="000000D0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Звіт має містити відомості про виконання здобувачем усіх розділів програми практики та індивідуального завдання, висновки і пропозиції, список використаної літератури тощо. Звіт оформлюється згідно з вимогами, які встановлюються програмою практики .</w:t>
      </w:r>
    </w:p>
    <w:p w:rsidR="00000000" w:rsidDel="00000000" w:rsidP="00000000" w:rsidRDefault="00000000" w:rsidRPr="00000000" w14:paraId="000000D1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Звіт з практики захищається здобувачем перед комісією, призначеною завідувачем випускової кафедри. Комісія приймає звіт у здобувачів на базах практики в останні дні її проходження або в університеті після її завершення але не пізніше завершення другого тижня семестру, що наступає після практики. Звіт з практики приймає керівник цієї практики від кафедри.</w:t>
      </w:r>
    </w:p>
    <w:p w:rsidR="00000000" w:rsidDel="00000000" w:rsidP="00000000" w:rsidRDefault="00000000" w:rsidRPr="00000000" w14:paraId="000000D2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За результатами звіту проводиться залік з практики. Результат заліку (оцінка «зараховано» - «не зараховано») вноситься в заліково-екзаменаційну відомість та до індивідуального плану (залікової книжки) здобувача за підписом голови комісії (керівника практики від кафедри. Здобувач, який не виконав програму практики без поважних причин, відраховується з університету.</w:t>
      </w:r>
    </w:p>
    <w:p w:rsidR="00000000" w:rsidDel="00000000" w:rsidP="00000000" w:rsidRDefault="00000000" w:rsidRPr="00000000" w14:paraId="000000D3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 Якщо програма практики не виконана здобувачем з поважної причини, то йому надається можливість проходження практики повторно при виконанні умов, визначених кафедрою, за рахунок канікул або в інший вільний від навчання час.</w:t>
      </w:r>
    </w:p>
    <w:p w:rsidR="00000000" w:rsidDel="00000000" w:rsidP="00000000" w:rsidRDefault="00000000" w:rsidRPr="00000000" w14:paraId="000000D4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 Здобувачам, які на заліку з практики отримали негативну оцінку, за рішенням директора інституту може бути надана можливість повторного проходження практики у вільний від навчання час та за власний рахунок.</w:t>
      </w:r>
    </w:p>
    <w:p w:rsidR="00000000" w:rsidDel="00000000" w:rsidP="00000000" w:rsidRDefault="00000000" w:rsidRPr="00000000" w14:paraId="000000D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За результатами захисту звітів з практики здобувачами випускова кафедра подає завідувачу звіт про проведення практики з пропозиціями щодо удосконалення її організації (додаток 2). </w:t>
      </w:r>
    </w:p>
    <w:p w:rsidR="00000000" w:rsidDel="00000000" w:rsidP="00000000" w:rsidRDefault="00000000" w:rsidRPr="00000000" w14:paraId="000000D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 Підсумки професійно-перекладацької практики обговорюються на засіданні випускової кафедри, а загальні підсумки практики підводяться на засіданні вченої ради інституту не рідше одного разу протягом навчального року.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Розробник</w:t>
        <w:tab/>
        <w:tab/>
        <w:tab/>
        <w:tab/>
        <w:tab/>
        <w:t xml:space="preserve">Наталія ЧЕПЕЛЮК</w:t>
      </w:r>
    </w:p>
    <w:p w:rsidR="00000000" w:rsidDel="00000000" w:rsidP="00000000" w:rsidRDefault="00000000" w:rsidRPr="00000000" w14:paraId="000000DA">
      <w:pPr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Погоджено:</w:t>
      </w:r>
    </w:p>
    <w:p w:rsidR="00000000" w:rsidDel="00000000" w:rsidP="00000000" w:rsidRDefault="00000000" w:rsidRPr="00000000" w14:paraId="000000DC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425.19685039370086" w:firstLine="0"/>
        <w:rPr/>
      </w:pPr>
      <w:r w:rsidDel="00000000" w:rsidR="00000000" w:rsidRPr="00000000">
        <w:rPr>
          <w:rtl w:val="0"/>
        </w:rPr>
        <w:t xml:space="preserve">В.о.завідувача кафедри</w:t>
        <w:tab/>
        <w:tab/>
        <w:tab/>
        <w:tab/>
        <w:t xml:space="preserve">Наталія ЦИМБАЛ</w:t>
        <w:tab/>
      </w:r>
    </w:p>
    <w:p w:rsidR="00000000" w:rsidDel="00000000" w:rsidP="00000000" w:rsidRDefault="00000000" w:rsidRPr="00000000" w14:paraId="000000DE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Начальник НМВ</w:t>
        <w:tab/>
        <w:tab/>
        <w:tab/>
        <w:tab/>
        <w:tab/>
        <w:t xml:space="preserve">Олександр БОНДАР</w:t>
      </w:r>
    </w:p>
    <w:p w:rsidR="00000000" w:rsidDel="00000000" w:rsidP="00000000" w:rsidRDefault="00000000" w:rsidRPr="00000000" w14:paraId="000000E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ЛІТЕРАТУРА</w:t>
      </w:r>
    </w:p>
    <w:p w:rsidR="00000000" w:rsidDel="00000000" w:rsidP="00000000" w:rsidRDefault="00000000" w:rsidRPr="00000000" w14:paraId="000000EE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tabs>
          <w:tab w:val="left" w:leader="none" w:pos="9540"/>
        </w:tabs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7.1.Нормативні документи</w:t>
      </w:r>
    </w:p>
    <w:p w:rsidR="00000000" w:rsidDel="00000000" w:rsidP="00000000" w:rsidRDefault="00000000" w:rsidRPr="00000000" w14:paraId="000000F0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1. Закон України «Про вищу освіту» (від 01.07.2014 № 1556-VII).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http://zakon4.rada.gov.ua/laws/show/1556-18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2.  Положення про проведення практичної підготовки здобувачів вищої освіти в Одеському</w:t>
      </w:r>
    </w:p>
    <w:p w:rsidR="00000000" w:rsidDel="00000000" w:rsidP="00000000" w:rsidRDefault="00000000" w:rsidRPr="00000000" w14:paraId="000000F2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національному політехнічному університеті. ЗАТВЕРДЖЕНО наказом ректора від 31.05.2019 р., № 276-ввід 31.05.2019 р., № 276-в. </w:t>
      </w:r>
    </w:p>
    <w:p w:rsidR="00000000" w:rsidDel="00000000" w:rsidP="00000000" w:rsidRDefault="00000000" w:rsidRPr="00000000" w14:paraId="000000F3">
      <w:pPr>
        <w:widowControl w:val="0"/>
        <w:tabs>
          <w:tab w:val="left" w:leader="none" w:pos="9540"/>
        </w:tabs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https://op.edu.ua/sites/default/files/publicFiles/node_docs/polozhennya_pro_provedennya_praktychnoyi_pidgotovky_studentiv_v_onpu.pdf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Національна рамка кваліфікацій. Додаток до постанови Кабінету Міністрів України від 23 листопада 2011 р. № 1341 (у редакції від 02.07.2020р.).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https://cutt.ly/enNUUph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4.Стандарт вищої освіти за спеціальністю 035 «Філологія» галузі знань 03 «Гуманітарні науки» для першого (бакалаврського) рівня вищої освіти. Наказ МОН України № 869 від 20.06.2019.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https://cutt.ly/bnNUO0U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Основна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Білозерська Л.П., Возненко Н.В., Радецька С.В. Термінологія та переклад. Навч. посібник для здобувачів вищої освіти філологічного напряму підготовки. Винниця: Нова Книга,2010. 232с.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Зацний Ю. А. Практика перекладу: навч. пос. для студ. спец. «Переклад (англійський)». Ч. 1. Запоріжжя: ЗНУ, 2012.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Кальниченко О.А., Черноватий Л.М. Енциклопедія перекладознавства. Handbook of Translation Studies. Т. 1. Вінниця : Нова Книга, 2020. 560 с.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Карабан В.І. Посібник-довідник з перекладу англійської наукової і технічної літератури на українську мову. Частина 1 та 2. К.: Політична думка,  1999.  301 с.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Крашеніннікова Т.В. Мова і термінологія наукових досліджень: Навчальний</w:t>
      </w:r>
    </w:p>
    <w:p w:rsidR="00000000" w:rsidDel="00000000" w:rsidP="00000000" w:rsidRDefault="00000000" w:rsidRPr="00000000" w14:paraId="000000FC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посібник. Дніпро: ВНПЗ «ДГУ», 2021. 88 с.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Корунець І. В. Теорія і практика перекладу (аспектний переклад) : підручник 5-те вид., виправ. і допов. Вінниця : Нова Книга, 2017. 448 с.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Мірам Г.Е. Коучінг для усних перекладачів.  К.: Ніка-Центр, 2011. 228с.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Ребрій О.В. Основи перекладацького скоропису. Вінниця, 2006. 148 с.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Павлюк Н. В., Мілова О. Є. Перекладацька практика: методичні. рекомендації. Київ: КУБГ. 2017. 42 с.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https://core.ac.uk/download/pdf/132225479.pdf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Перова С. В., Крисало О. В. Перекладацька практика : методичні вказівки для студентів фту іноземних мов. Держ. закл. «Луган. нац ун-т імені Тараса Шевченка». Полтава. 2022. 100 с.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Петренко Н.М. Interpret by Interpreting: Тренінг з усного перекладу: Навчальний посібник. К.: Центр навчальної літератури, 2003. 260 с.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4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Sinclair J. Fictional worlds // Talking about text. Birmingham: English Language Research, DAM № 13. P. 43-60.</w:t>
      </w:r>
    </w:p>
    <w:p w:rsidR="00000000" w:rsidDel="00000000" w:rsidP="00000000" w:rsidRDefault="00000000" w:rsidRPr="00000000" w14:paraId="00000104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Додаткова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Коптілов В. Теорія і практика перекладу. К.: Юніверс, 2003. 280с.</w:t>
      </w:r>
    </w:p>
    <w:p w:rsidR="00000000" w:rsidDel="00000000" w:rsidP="00000000" w:rsidRDefault="00000000" w:rsidRPr="00000000" w14:paraId="00000107">
      <w:pPr>
        <w:widowControl w:val="0"/>
        <w:numPr>
          <w:ilvl w:val="0"/>
          <w:numId w:val="3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BradfordT. Stull. The Elements of Figurative Language. - London:Prentice Hall, 2002. 240 p.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3"/>
        </w:numPr>
        <w:ind w:left="360" w:hanging="360"/>
        <w:jc w:val="both"/>
        <w:rPr>
          <w:color w:val="0070c0"/>
        </w:rPr>
      </w:pPr>
      <w:r w:rsidDel="00000000" w:rsidR="00000000" w:rsidRPr="00000000">
        <w:rPr>
          <w:rtl w:val="0"/>
        </w:rPr>
        <w:t xml:space="preserve">Harris Robert. A Handbook of Rhetorical Devices. </w:t>
      </w:r>
      <w:r w:rsidDel="00000000" w:rsidR="00000000" w:rsidRPr="00000000">
        <w:rPr>
          <w:color w:val="0070c0"/>
          <w:rtl w:val="0"/>
        </w:rPr>
        <w:t xml:space="preserve">URL: https://www.virtualsalt.com/rhetoric.htm 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3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Simpson Paul. Stylistics. L &amp; N: Routledge, 2004. </w:t>
      </w:r>
      <w:r w:rsidDel="00000000" w:rsidR="00000000" w:rsidRPr="00000000">
        <w:rPr>
          <w:color w:val="0070c0"/>
          <w:rtl w:val="0"/>
        </w:rPr>
        <w:t xml:space="preserve">URL: 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http://er.nau.edu.ua/bitstream/NAU/30727/10/Simpson-stylistics-a-resource-book-for-students-paul-simpson.pdf </w:t>
      </w: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10A">
      <w:pPr>
        <w:widowControl w:val="0"/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Словники та довідники </w:t>
      </w:r>
    </w:p>
    <w:p w:rsidR="00000000" w:rsidDel="00000000" w:rsidP="00000000" w:rsidRDefault="00000000" w:rsidRPr="00000000" w14:paraId="0000010B">
      <w:pPr>
        <w:widowControl w:val="0"/>
        <w:numPr>
          <w:ilvl w:val="0"/>
          <w:numId w:val="3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 Cowie A.P., Mackin R. Oxford Dictionary of Phrasal Verbs. Oxford, 1995 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3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The Oxford Dictionary and Thesaurus/ Ed. by Tulloch S.  Oxford, 1996.</w:t>
      </w:r>
    </w:p>
    <w:p w:rsidR="00000000" w:rsidDel="00000000" w:rsidP="00000000" w:rsidRDefault="00000000" w:rsidRPr="00000000" w14:paraId="0000010D">
      <w:pPr>
        <w:widowControl w:val="0"/>
        <w:shd w:fill="ffffff" w:val="clear"/>
        <w:ind w:left="360" w:firstLine="0"/>
        <w:jc w:val="both"/>
        <w:rPr>
          <w:smallCap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mallCaps w:val="1"/>
          <w:rtl w:val="0"/>
        </w:rPr>
        <w:t xml:space="preserve">                                                           ІНФОРМАЦІЙНІ РЕСУРСИ</w:t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3"/>
        </w:numPr>
        <w:shd w:fill="ffffff" w:val="clear"/>
        <w:tabs>
          <w:tab w:val="left" w:leader="none" w:pos="365"/>
        </w:tabs>
        <w:ind w:left="360" w:hanging="360"/>
        <w:jc w:val="both"/>
        <w:rPr/>
      </w:pPr>
      <w:r w:rsidDel="00000000" w:rsidR="00000000" w:rsidRPr="00000000">
        <w:rPr>
          <w:smallCap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Бібліотека Uz-Translations  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http://www.uz-translations.su/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F">
      <w:pPr>
        <w:widowControl w:val="0"/>
        <w:numPr>
          <w:ilvl w:val="0"/>
          <w:numId w:val="3"/>
        </w:numPr>
        <w:shd w:fill="ffffff" w:val="clear"/>
        <w:tabs>
          <w:tab w:val="left" w:leader="none" w:pos="365"/>
        </w:tabs>
        <w:ind w:left="360" w:hanging="360"/>
        <w:jc w:val="both"/>
        <w:rPr/>
      </w:pPr>
      <w:r w:rsidDel="00000000" w:rsidR="00000000" w:rsidRPr="00000000">
        <w:rPr>
          <w:rtl w:val="0"/>
        </w:rPr>
        <w:t xml:space="preserve"> Бібліотека Englishtips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http://englishtips.org/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3"/>
        </w:numPr>
        <w:shd w:fill="ffffff" w:val="clear"/>
        <w:tabs>
          <w:tab w:val="left" w:leader="none" w:pos="365"/>
        </w:tabs>
        <w:ind w:left="360" w:hanging="360"/>
        <w:jc w:val="both"/>
        <w:rPr/>
      </w:pPr>
      <w:r w:rsidDel="00000000" w:rsidR="00000000" w:rsidRPr="00000000">
        <w:rPr>
          <w:rtl w:val="0"/>
        </w:rPr>
        <w:t xml:space="preserve"> Бібліотека TWIRPX  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http://www.twirpx.com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1">
      <w:pPr>
        <w:widowControl w:val="0"/>
        <w:tabs>
          <w:tab w:val="left" w:leader="none" w:pos="9540"/>
        </w:tabs>
        <w:jc w:val="both"/>
        <w:rPr/>
      </w:pPr>
      <w:r w:rsidDel="00000000" w:rsidR="00000000" w:rsidRPr="00000000">
        <w:rPr>
          <w:rtl w:val="0"/>
        </w:rPr>
        <w:t xml:space="preserve"> Національна бібліотека України імені В.І. Вернадського 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http://www.nbuv.gov.ua/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298" w:hanging="359.9999999999999"/>
      </w:pPr>
      <w:rPr/>
    </w:lvl>
    <w:lvl w:ilvl="2">
      <w:start w:val="1"/>
      <w:numFmt w:val="decimal"/>
      <w:lvlText w:val="%3."/>
      <w:lvlJc w:val="left"/>
      <w:pPr>
        <w:ind w:left="2018" w:hanging="360"/>
      </w:pPr>
      <w:rPr/>
    </w:lvl>
    <w:lvl w:ilvl="3">
      <w:start w:val="1"/>
      <w:numFmt w:val="decimal"/>
      <w:lvlText w:val="%4."/>
      <w:lvlJc w:val="left"/>
      <w:pPr>
        <w:ind w:left="2738" w:hanging="360"/>
      </w:pPr>
      <w:rPr/>
    </w:lvl>
    <w:lvl w:ilvl="4">
      <w:start w:val="1"/>
      <w:numFmt w:val="decimal"/>
      <w:lvlText w:val="%5."/>
      <w:lvlJc w:val="left"/>
      <w:pPr>
        <w:ind w:left="3458" w:hanging="360"/>
      </w:pPr>
      <w:rPr/>
    </w:lvl>
    <w:lvl w:ilvl="5">
      <w:start w:val="1"/>
      <w:numFmt w:val="decimal"/>
      <w:lvlText w:val="%6."/>
      <w:lvlJc w:val="left"/>
      <w:pPr>
        <w:ind w:left="4178" w:hanging="360"/>
      </w:pPr>
      <w:rPr/>
    </w:lvl>
    <w:lvl w:ilvl="6">
      <w:start w:val="1"/>
      <w:numFmt w:val="decimal"/>
      <w:lvlText w:val="%7."/>
      <w:lvlJc w:val="left"/>
      <w:pPr>
        <w:ind w:left="4898" w:hanging="360"/>
      </w:pPr>
      <w:rPr/>
    </w:lvl>
    <w:lvl w:ilvl="7">
      <w:start w:val="1"/>
      <w:numFmt w:val="decimal"/>
      <w:lvlText w:val="%8."/>
      <w:lvlJc w:val="left"/>
      <w:pPr>
        <w:ind w:left="5618" w:hanging="360"/>
      </w:pPr>
      <w:rPr/>
    </w:lvl>
    <w:lvl w:ilvl="8">
      <w:start w:val="1"/>
      <w:numFmt w:val="decimal"/>
      <w:lvlText w:val="%9."/>
      <w:lvlJc w:val="left"/>
      <w:pPr>
        <w:ind w:left="6338" w:hanging="36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  <w:ind w:firstLine="720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C6B38"/>
    <w:rPr>
      <w:rFonts w:ascii="Times New Roman" w:eastAsia="Times New Roman" w:hAnsi="Times New Roman"/>
      <w:sz w:val="24"/>
      <w:szCs w:val="24"/>
      <w:lang w:eastAsia="ru-RU" w:val="ru-RU"/>
    </w:rPr>
  </w:style>
  <w:style w:type="paragraph" w:styleId="1">
    <w:name w:val="heading 1"/>
    <w:basedOn w:val="a"/>
    <w:next w:val="a"/>
    <w:link w:val="10"/>
    <w:uiPriority w:val="9"/>
    <w:qFormat w:val="1"/>
    <w:rsid w:val="00015C5D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 w:val="1"/>
    <w:rsid w:val="00015C5D"/>
    <w:pPr>
      <w:keepNext w:val="1"/>
      <w:keepLines w:val="1"/>
      <w:spacing w:before="200"/>
      <w:outlineLvl w:val="1"/>
    </w:pPr>
    <w:rPr>
      <w:rFonts w:ascii="Cambria" w:hAnsi="Cambria"/>
      <w:b w:val="1"/>
      <w:bCs w:val="1"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qFormat w:val="1"/>
    <w:rsid w:val="00015C5D"/>
    <w:pPr>
      <w:keepNext w:val="1"/>
      <w:spacing w:after="120" w:before="240"/>
      <w:ind w:firstLine="720"/>
      <w:jc w:val="both"/>
      <w:outlineLvl w:val="2"/>
    </w:pPr>
    <w:rPr>
      <w:rFonts w:ascii="Arial" w:hAnsi="Arial"/>
      <w:b w:val="1"/>
      <w:i w:val="1"/>
      <w:sz w:val="28"/>
      <w:szCs w:val="28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1" w:customStyle="1">
    <w:name w:val="Абзац списка1"/>
    <w:basedOn w:val="a"/>
    <w:uiPriority w:val="99"/>
    <w:qFormat w:val="1"/>
    <w:rsid w:val="00015C5D"/>
    <w:pPr>
      <w:ind w:left="720"/>
      <w:contextualSpacing w:val="1"/>
    </w:pPr>
  </w:style>
  <w:style w:type="character" w:styleId="10" w:customStyle="1">
    <w:name w:val="Заголовок 1 Знак"/>
    <w:link w:val="1"/>
    <w:uiPriority w:val="9"/>
    <w:rsid w:val="00015C5D"/>
    <w:rPr>
      <w:rFonts w:ascii="Calibri Light" w:eastAsia="Times New Roman" w:hAnsi="Calibri Light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link w:val="2"/>
    <w:rsid w:val="00015C5D"/>
    <w:rPr>
      <w:rFonts w:ascii="Cambria" w:hAnsi="Cambria"/>
      <w:b w:val="1"/>
      <w:bCs w:val="1"/>
      <w:color w:val="4f81bd"/>
      <w:sz w:val="26"/>
      <w:szCs w:val="26"/>
    </w:rPr>
  </w:style>
  <w:style w:type="character" w:styleId="30" w:customStyle="1">
    <w:name w:val="Заголовок 3 Знак"/>
    <w:link w:val="3"/>
    <w:rsid w:val="00015C5D"/>
    <w:rPr>
      <w:rFonts w:ascii="Arial" w:hAnsi="Arial"/>
      <w:b w:val="1"/>
      <w:i w:val="1"/>
      <w:sz w:val="28"/>
      <w:szCs w:val="28"/>
      <w:lang w:eastAsia="ru-RU" w:val="uk-UA"/>
    </w:rPr>
  </w:style>
  <w:style w:type="paragraph" w:styleId="a3">
    <w:name w:val="caption"/>
    <w:basedOn w:val="a"/>
    <w:qFormat w:val="1"/>
    <w:rsid w:val="00015C5D"/>
    <w:pPr>
      <w:suppressLineNumbers w:val="1"/>
      <w:spacing w:after="120" w:before="120"/>
    </w:pPr>
    <w:rPr>
      <w:i w:val="1"/>
      <w:iCs w:val="1"/>
    </w:rPr>
  </w:style>
  <w:style w:type="character" w:styleId="a4">
    <w:name w:val="Strong"/>
    <w:uiPriority w:val="22"/>
    <w:qFormat w:val="1"/>
    <w:rsid w:val="00015C5D"/>
    <w:rPr>
      <w:b w:val="1"/>
      <w:bCs w:val="1"/>
    </w:rPr>
  </w:style>
  <w:style w:type="character" w:styleId="a5">
    <w:name w:val="Emphasis"/>
    <w:uiPriority w:val="20"/>
    <w:qFormat w:val="1"/>
    <w:rsid w:val="00015C5D"/>
    <w:rPr>
      <w:i w:val="1"/>
      <w:iCs w:val="1"/>
      <w:sz w:val="24"/>
    </w:rPr>
  </w:style>
  <w:style w:type="paragraph" w:styleId="a6">
    <w:name w:val="No Spacing"/>
    <w:qFormat w:val="1"/>
    <w:rsid w:val="00015C5D"/>
    <w:rPr>
      <w:rFonts w:ascii="Times New Roman" w:eastAsia="Times New Roman" w:hAnsi="Times New Roman"/>
      <w:sz w:val="24"/>
      <w:szCs w:val="24"/>
      <w:lang w:eastAsia="ru-RU" w:val="ru-RU"/>
    </w:rPr>
  </w:style>
  <w:style w:type="paragraph" w:styleId="a7">
    <w:name w:val="List Paragraph"/>
    <w:basedOn w:val="a"/>
    <w:uiPriority w:val="34"/>
    <w:qFormat w:val="1"/>
    <w:rsid w:val="00015C5D"/>
    <w:pPr>
      <w:ind w:left="720"/>
      <w:contextualSpacing w:val="1"/>
    </w:pPr>
  </w:style>
  <w:style w:type="paragraph" w:styleId="a8">
    <w:name w:val="Balloon Text"/>
    <w:basedOn w:val="a"/>
    <w:link w:val="a9"/>
    <w:uiPriority w:val="99"/>
    <w:semiHidden w:val="1"/>
    <w:unhideWhenUsed w:val="1"/>
    <w:rsid w:val="0020167C"/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20167C"/>
    <w:rPr>
      <w:rFonts w:ascii="Tahoma" w:cs="Tahoma" w:eastAsia="Times New Roman" w:hAnsi="Tahoma"/>
      <w:sz w:val="16"/>
      <w:szCs w:val="16"/>
      <w:lang w:eastAsia="ru-RU" w:val="ru-RU"/>
    </w:rPr>
  </w:style>
  <w:style w:type="character" w:styleId="aa">
    <w:name w:val="Hyperlink"/>
    <w:basedOn w:val="a0"/>
    <w:uiPriority w:val="99"/>
    <w:unhideWhenUsed w:val="1"/>
    <w:rsid w:val="0058597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re.ac.uk/download/pdf/132225479.pdf" TargetMode="External"/><Relationship Id="rId10" Type="http://schemas.openxmlformats.org/officeDocument/2006/relationships/hyperlink" Target="https://cutt.ly/bnNUO0U" TargetMode="External"/><Relationship Id="rId13" Type="http://schemas.openxmlformats.org/officeDocument/2006/relationships/hyperlink" Target="http://englishtips.org/" TargetMode="External"/><Relationship Id="rId12" Type="http://schemas.openxmlformats.org/officeDocument/2006/relationships/hyperlink" Target="http://www.uz-translations.s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tt.ly/enNUUph" TargetMode="External"/><Relationship Id="rId15" Type="http://schemas.openxmlformats.org/officeDocument/2006/relationships/hyperlink" Target="http://www.nbuv.gov.ua/" TargetMode="External"/><Relationship Id="rId14" Type="http://schemas.openxmlformats.org/officeDocument/2006/relationships/hyperlink" Target="http://www.twirpx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zakon4.rada.gov.ua/laws/show/1556-18" TargetMode="External"/><Relationship Id="rId8" Type="http://schemas.openxmlformats.org/officeDocument/2006/relationships/hyperlink" Target="https://op.edu.ua/sites/default/files/publicFiles/node_docs/polozhennya_pro_provedennya_praktychnoyi_pidgotovky_studentiv_v_onp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o5N0E73YRwaN3pxPmCYXBMUAg==">CgMxLjA4AHIhMUFZdnFXZlhvdzFERkdiTHRNQTB6OVhHYVhlSURPUUFD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2024-12-25T08:07:00Z</dcterms:created>
  <dc:creator>Lena</dc:creator>
</cp:coreProperties>
</file>